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9827B">
      <w:pPr>
        <w:spacing w:line="600" w:lineRule="exact"/>
        <w:jc w:val="center"/>
        <w:rPr>
          <w:rFonts w:hint="eastAsia" w:ascii="Times New Roman" w:hAnsi="Times New Roman" w:eastAsia="方正小标宋_GBK" w:cs="Times New Roman"/>
          <w:b w:val="0"/>
          <w:bCs w:val="0"/>
          <w:sz w:val="44"/>
          <w:szCs w:val="44"/>
          <w:highlight w:val="none"/>
          <w:lang w:val="en-US" w:eastAsia="zh-CN"/>
        </w:rPr>
      </w:pPr>
    </w:p>
    <w:p w14:paraId="40DAD60C">
      <w:pPr>
        <w:spacing w:line="600" w:lineRule="exact"/>
        <w:jc w:val="center"/>
        <w:rPr>
          <w:rFonts w:hint="eastAsia" w:ascii="Times New Roman" w:hAnsi="Times New Roman" w:eastAsia="方正小标宋_GBK" w:cs="Times New Roman"/>
          <w:b w:val="0"/>
          <w:bCs w:val="0"/>
          <w:sz w:val="44"/>
          <w:szCs w:val="44"/>
          <w:highlight w:val="none"/>
          <w:lang w:val="en-US" w:eastAsia="zh-CN"/>
        </w:rPr>
      </w:pPr>
    </w:p>
    <w:p w14:paraId="1ED8FFF0">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6990CE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1F4010FD">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6777D03">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94D457A">
      <w:pPr>
        <w:spacing w:line="600" w:lineRule="exact"/>
        <w:ind w:firstLine="880" w:firstLineChars="200"/>
        <w:jc w:val="center"/>
        <w:rPr>
          <w:rFonts w:hint="default" w:ascii="Times New Roman" w:hAnsi="Times New Roman" w:eastAsia="方正小标宋_GBK" w:cs="Times New Roman"/>
          <w:sz w:val="44"/>
          <w:szCs w:val="44"/>
          <w:highlight w:val="none"/>
        </w:rPr>
      </w:pPr>
    </w:p>
    <w:p w14:paraId="399B5B29">
      <w:pPr>
        <w:spacing w:line="600" w:lineRule="exact"/>
        <w:ind w:firstLine="880" w:firstLineChars="200"/>
        <w:jc w:val="center"/>
        <w:rPr>
          <w:rFonts w:hint="default" w:ascii="Times New Roman" w:hAnsi="Times New Roman" w:eastAsia="方正小标宋_GBK" w:cs="Times New Roman"/>
          <w:sz w:val="44"/>
          <w:szCs w:val="44"/>
          <w:highlight w:val="none"/>
        </w:rPr>
      </w:pPr>
    </w:p>
    <w:p w14:paraId="361A5A3C">
      <w:pPr>
        <w:spacing w:line="600" w:lineRule="exact"/>
        <w:ind w:firstLine="880" w:firstLineChars="200"/>
        <w:jc w:val="center"/>
        <w:rPr>
          <w:rFonts w:hint="default" w:ascii="Times New Roman" w:hAnsi="Times New Roman" w:eastAsia="方正小标宋_GBK" w:cs="Times New Roman"/>
          <w:sz w:val="44"/>
          <w:szCs w:val="44"/>
          <w:highlight w:val="none"/>
        </w:rPr>
      </w:pPr>
    </w:p>
    <w:p w14:paraId="50D43CF7">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AB02D1C">
      <w:pPr>
        <w:spacing w:line="800" w:lineRule="exact"/>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中共广安经济技术开发区纪律检查工作委员会</w:t>
      </w:r>
    </w:p>
    <w:p w14:paraId="47B47198">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部门</w:t>
      </w:r>
      <w:r>
        <w:rPr>
          <w:rFonts w:hint="default" w:ascii="Times New Roman" w:hAnsi="Times New Roman" w:eastAsia="方正小标宋_GBK" w:cs="Times New Roman"/>
          <w:sz w:val="72"/>
          <w:szCs w:val="72"/>
          <w:highlight w:val="none"/>
        </w:rPr>
        <w:t>预算</w:t>
      </w:r>
    </w:p>
    <w:p w14:paraId="0BCFD3BF">
      <w:pPr>
        <w:spacing w:line="800" w:lineRule="exact"/>
        <w:ind w:firstLine="1440" w:firstLineChars="200"/>
        <w:jc w:val="center"/>
        <w:rPr>
          <w:rFonts w:hint="default" w:ascii="Times New Roman" w:hAnsi="Times New Roman" w:eastAsia="方正小标宋_GBK" w:cs="Times New Roman"/>
          <w:sz w:val="72"/>
          <w:szCs w:val="72"/>
          <w:highlight w:val="none"/>
        </w:rPr>
      </w:pPr>
    </w:p>
    <w:p w14:paraId="4C5B3DC6">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1317940C">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15D4F4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中共广安经济技术开发区纪律检查工作委员会</w:t>
      </w:r>
      <w:r>
        <w:rPr>
          <w:rFonts w:hint="default" w:ascii="Times New Roman" w:hAnsi="Times New Roman" w:eastAsia="黑体" w:cs="Times New Roman"/>
          <w:kern w:val="0"/>
          <w:sz w:val="32"/>
          <w:szCs w:val="32"/>
          <w:highlight w:val="none"/>
          <w:lang w:val="en-US" w:eastAsia="zh-CN" w:bidi="ar"/>
        </w:rPr>
        <w:t>概况</w:t>
      </w:r>
    </w:p>
    <w:p w14:paraId="0C2B95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45132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构成</w:t>
      </w:r>
    </w:p>
    <w:p w14:paraId="3EB178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中共广安经济技术开发区纪律检查工作委员会2025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部门预算</w:t>
      </w:r>
      <w:r>
        <w:rPr>
          <w:rFonts w:hint="default" w:ascii="Times New Roman" w:hAnsi="Times New Roman" w:eastAsia="黑体" w:cs="Times New Roman"/>
          <w:kern w:val="0"/>
          <w:sz w:val="32"/>
          <w:szCs w:val="32"/>
          <w:highlight w:val="none"/>
          <w:lang w:val="en-US" w:eastAsia="zh-CN" w:bidi="ar"/>
        </w:rPr>
        <w:t>情况说明</w:t>
      </w:r>
    </w:p>
    <w:p w14:paraId="233FF7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07EABA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中共广安经济技术开发区纪律检查工作委员会2025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部门预算</w:t>
      </w:r>
      <w:r>
        <w:rPr>
          <w:rFonts w:hint="default" w:ascii="Times New Roman" w:hAnsi="Times New Roman" w:eastAsia="黑体" w:cs="Times New Roman"/>
          <w:kern w:val="0"/>
          <w:sz w:val="32"/>
          <w:szCs w:val="32"/>
          <w:highlight w:val="none"/>
          <w:lang w:val="en-US" w:eastAsia="zh-CN" w:bidi="ar"/>
        </w:rPr>
        <w:t>表</w:t>
      </w:r>
    </w:p>
    <w:p w14:paraId="18401874">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收支总表</w:t>
      </w:r>
    </w:p>
    <w:p w14:paraId="18910998">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收入总表</w:t>
      </w:r>
    </w:p>
    <w:p w14:paraId="0E59DFD9">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支出总表</w:t>
      </w:r>
    </w:p>
    <w:p w14:paraId="25912026">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6E70A406">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341E7D17">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27CFAB72">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0F25E904">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020E1CC4">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351BFF85">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2625789F">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4EF9BC93">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16C91F23">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预算项目绩效目标</w:t>
      </w:r>
      <w:r>
        <w:rPr>
          <w:rFonts w:hint="default" w:ascii="Times New Roman" w:hAnsi="Times New Roman" w:eastAsia="仿宋_GB2312" w:cs="Times New Roman"/>
          <w:sz w:val="32"/>
          <w:szCs w:val="32"/>
          <w:highlight w:val="none"/>
          <w:lang w:eastAsia="zh-CN"/>
        </w:rPr>
        <w:t>表</w:t>
      </w:r>
    </w:p>
    <w:p w14:paraId="682144CA">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14:paraId="6BD5C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F6DE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004EC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9016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7234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AC91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868C0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4E8CD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0DD4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808E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中共广安经济技术开发区纪律检查工作委员会概况</w:t>
      </w:r>
    </w:p>
    <w:p w14:paraId="71B9D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3037BF33">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494B4D18">
      <w:pPr>
        <w:spacing w:line="56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highlight w:val="none"/>
          <w:lang w:val="en-US" w:eastAsia="zh-CN"/>
        </w:rPr>
        <w:t>广安经开区纪工委</w:t>
      </w:r>
      <w:r>
        <w:rPr>
          <w:rFonts w:ascii="Times New Roman" w:hAnsi="Times New Roman" w:eastAsia="楷体_GB2312" w:cs="Times New Roman"/>
          <w:b/>
          <w:sz w:val="32"/>
          <w:szCs w:val="32"/>
        </w:rPr>
        <w:t>职能简介。</w:t>
      </w:r>
    </w:p>
    <w:p w14:paraId="21A35B7A">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负责全区党的纪律检查工作。贯彻落实党中央关于纪律检查工作的决定，维护党的章程和其他党内法规，检查党的路线方针政策和决议的执行情况，协助党工委推进全面从严治党、加强党风建设和组织协调反腐败工作。</w:t>
      </w:r>
    </w:p>
    <w:p w14:paraId="3C127F56">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依照党的章程和其他党内法规履行监督、执纪、问责职责。负责经常对辖区内党员进行遵守纪律的教育。负责对经开区各乡镇（街道）党（工）委、纪（工）委，各部局办、直属企事业单位等党的组织和广安经开区党工委管理的党员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5BA20746">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（3）负责全区监察工作。贯彻落实党中央关于监察工作的决定，维护宪法法律，依法对辖区内行使公权力的公职人员进行监察，调查职务违法和职务犯罪，开展廉政建设和反腐败工作。</w:t>
      </w:r>
    </w:p>
    <w:p w14:paraId="4603DFD1">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依照法律规定履行监督、调查、处置职责。推动开展廉政教育，对辖区内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向监察对象所在单位提出监察建议。</w:t>
      </w:r>
    </w:p>
    <w:p w14:paraId="1F0FF04F">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（5）负责组织协调全面从严治党、党风廉政建设和反腐败宣传教育工作。</w:t>
      </w:r>
    </w:p>
    <w:p w14:paraId="7CA3E946">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（6）负责综合分析全面从严治党、党风廉政建设和反腐败工作情况，对纪检监察工作重要理论及实践问题进行调查研究。</w:t>
      </w:r>
    </w:p>
    <w:p w14:paraId="6B3164BA">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（7）在中共广安市纪委广安市监委的领导下，加强对反腐败追逃追赃和防逃工作的组织协调，督促有关单位做好相关工作。</w:t>
      </w:r>
    </w:p>
    <w:p w14:paraId="4C7878E4">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（8）根据干部管理权限，负责全区纪检监察系统领导班子建设、干部队伍建设和组织建设的综合规划、政策研究、制度建设和业务指导，组织和指导全区纪检监察系统干部教育培训工作等。</w:t>
      </w:r>
    </w:p>
    <w:p w14:paraId="66389B2E">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（9）承办市纪委监委、市党风廉政教育培训中心、市纪委监委网络政务与电教中心；市委巡察办、市委各巡察组、市巡察信息服务中心交办的其他事项；</w:t>
      </w:r>
    </w:p>
    <w:p w14:paraId="1622D4CE">
      <w:pPr>
        <w:pStyle w:val="4"/>
        <w:widowControl/>
        <w:pBdr>
          <w:top w:val="none" w:color="auto" w:sz="0" w:space="0"/>
          <w:left w:val="none" w:color="auto" w:sz="0" w:space="0"/>
          <w:bottom w:val="none" w:color="auto" w:sz="0" w:space="0"/>
          <w:right w:val="none" w:color="auto" w:sz="0" w:space="0"/>
        </w:pBdr>
        <w:shd w:val="clear" w:color="auto" w:fill="FFFFFF"/>
        <w:adjustRightInd w:val="0"/>
        <w:snapToGrid w:val="0"/>
        <w:spacing w:line="57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（10）承办党工委、管委会交办的其他事项。</w:t>
      </w:r>
    </w:p>
    <w:p w14:paraId="7793C1E1">
      <w:pPr>
        <w:pStyle w:val="8"/>
        <w:spacing w:line="560" w:lineRule="exact"/>
        <w:ind w:firstLine="643"/>
        <w:rPr>
          <w:rFonts w:eastAsia="仿宋_GB2312"/>
          <w:sz w:val="32"/>
          <w:szCs w:val="32"/>
        </w:rPr>
      </w:pPr>
      <w:r>
        <w:rPr>
          <w:rFonts w:eastAsia="楷体_GB2312"/>
          <w:b/>
          <w:sz w:val="32"/>
          <w:szCs w:val="32"/>
        </w:rPr>
        <w:t>（二）</w:t>
      </w:r>
      <w:r>
        <w:rPr>
          <w:rFonts w:hint="eastAsia" w:ascii="Times New Roman" w:hAnsi="Times New Roman" w:eastAsia="楷体_GB2312" w:cs="Times New Roman"/>
          <w:b/>
          <w:sz w:val="32"/>
          <w:szCs w:val="32"/>
          <w:highlight w:val="none"/>
          <w:lang w:val="en-US" w:eastAsia="zh-CN"/>
        </w:rPr>
        <w:t>广安经开区纪工委</w:t>
      </w:r>
      <w:r>
        <w:rPr>
          <w:rFonts w:hint="eastAsia" w:eastAsia="楷体_GB2312"/>
          <w:b/>
          <w:sz w:val="32"/>
          <w:szCs w:val="32"/>
        </w:rPr>
        <w:t>202</w:t>
      </w:r>
      <w:r>
        <w:rPr>
          <w:rFonts w:hint="eastAsia" w:eastAsia="楷体_GB2312"/>
          <w:b/>
          <w:sz w:val="32"/>
          <w:szCs w:val="32"/>
          <w:lang w:val="en-US" w:eastAsia="zh-CN"/>
        </w:rPr>
        <w:t>5</w:t>
      </w:r>
      <w:r>
        <w:rPr>
          <w:rFonts w:hint="eastAsia" w:eastAsia="楷体_GB2312"/>
          <w:b/>
          <w:sz w:val="32"/>
          <w:szCs w:val="32"/>
        </w:rPr>
        <w:t>年</w:t>
      </w:r>
      <w:r>
        <w:rPr>
          <w:rFonts w:eastAsia="楷体_GB2312"/>
          <w:b/>
          <w:sz w:val="32"/>
          <w:szCs w:val="32"/>
        </w:rPr>
        <w:t>重点工作。</w:t>
      </w:r>
    </w:p>
    <w:p w14:paraId="4D335C4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仿宋_GB2312" w:cs="Times New Roman"/>
          <w:sz w:val="32"/>
          <w:szCs w:val="32"/>
          <w:highlight w:val="none"/>
        </w:rPr>
        <w:t>　</w:t>
      </w:r>
      <w:r>
        <w:rPr>
          <w:rFonts w:hint="eastAsia" w:ascii="Times New Roman" w:hAnsi="Times New Roman" w:eastAsia="方正仿宋_GBK" w:cs="Times New Roman"/>
          <w:color w:val="000000"/>
          <w:sz w:val="33"/>
          <w:szCs w:val="33"/>
          <w:lang w:val="en-US" w:eastAsia="zh-CN"/>
        </w:rPr>
        <w:t>2025年，广安经开区纪工委监察室将继续深入贯彻落实党的二十大精神以及习近平总书记来川视察重要指示批示精神，紧紧围绕中央纪委、省纪委以及市纪委六届四次全会各项部署，以新姿态、新担当、新作为，为邓小平同志诞辰120周年贡献纪检监察力量。</w:t>
      </w:r>
    </w:p>
    <w:p w14:paraId="72692AA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方正楷体_GBK" w:hAnsi="方正楷体_GBK" w:eastAsia="方正楷体_GBK" w:cs="方正楷体_GBK"/>
          <w:b/>
          <w:bCs/>
          <w:color w:val="000000"/>
          <w:sz w:val="33"/>
          <w:szCs w:val="33"/>
          <w:lang w:val="en-US" w:eastAsia="zh-CN"/>
        </w:rPr>
        <w:t>（一）推动政治监督精准具体，全面保障重大决策落实。</w:t>
      </w:r>
      <w:r>
        <w:rPr>
          <w:rFonts w:hint="eastAsia" w:ascii="Times New Roman" w:hAnsi="Times New Roman" w:eastAsia="方正仿宋_GBK" w:cs="Times New Roman"/>
          <w:color w:val="000000"/>
          <w:sz w:val="33"/>
          <w:szCs w:val="33"/>
          <w:lang w:val="en-US" w:eastAsia="zh-CN"/>
        </w:rPr>
        <w:t>聚焦党中央重大决策部署和习近平总书记来川视察重要指示批示精神，围绕“国之大者、省之大计、市之大事”，</w:t>
      </w:r>
      <w:r>
        <w:rPr>
          <w:rFonts w:hint="eastAsia" w:ascii="Times New Roman" w:hAnsi="Times New Roman" w:eastAsia="方正仿宋_GBK" w:cs="Times New Roman"/>
          <w:sz w:val="33"/>
          <w:szCs w:val="33"/>
          <w:lang w:val="en-US" w:eastAsia="zh-CN"/>
        </w:rPr>
        <w:t>推动政治监督具体化、精准化、常态化。紧盯“一把手”和“关键少数”，织密监督网，不断细化压实责任，督促“一把手”和关键少数严于律己、严负其责、严管所辖。扎实抓好六届市委巡察反馈问题整改工作，完善工作机制、堵塞制度漏洞。</w:t>
      </w:r>
    </w:p>
    <w:p w14:paraId="14B44AC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lang w:val="en-US" w:eastAsia="zh-CN"/>
        </w:rPr>
      </w:pPr>
      <w:r>
        <w:rPr>
          <w:rFonts w:hint="eastAsia" w:ascii="方正楷体_GBK" w:hAnsi="方正楷体_GBK" w:eastAsia="方正楷体_GBK" w:cs="方正楷体_GBK"/>
          <w:b/>
          <w:bCs/>
          <w:color w:val="000000"/>
          <w:sz w:val="33"/>
          <w:szCs w:val="33"/>
          <w:lang w:val="en-US" w:eastAsia="zh-CN"/>
        </w:rPr>
        <w:t>（二）推动营商环境持续优化，努力建设清廉园区。</w:t>
      </w:r>
      <w:r>
        <w:rPr>
          <w:rFonts w:hint="eastAsia" w:ascii="Times New Roman" w:hAnsi="Times New Roman" w:eastAsia="方正仿宋_GBK" w:cs="Times New Roman"/>
          <w:sz w:val="33"/>
          <w:szCs w:val="33"/>
          <w:lang w:val="en-US" w:eastAsia="zh-CN"/>
        </w:rPr>
        <w:t>加快推动优化营商环境“五个一”工作举措落地落实，充分</w:t>
      </w:r>
      <w:r>
        <w:rPr>
          <w:rFonts w:hint="eastAsia" w:ascii="Times New Roman" w:hAnsi="Times New Roman" w:eastAsia="方正仿宋_GBK" w:cs="方正仿宋_GBK"/>
          <w:sz w:val="33"/>
          <w:szCs w:val="33"/>
          <w:lang w:val="en-US" w:eastAsia="zh-CN"/>
        </w:rPr>
        <w:t>运用好重大项目贯通协调监督和“室地企”专责监督，探索运用“大数据+监督”手段，聚焦政策落实、项目推进、资金管理等关键环节，提升监督效能，推动全区营商环境持续优化。</w:t>
      </w:r>
    </w:p>
    <w:p w14:paraId="51DCE85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方正楷体_GBK" w:hAnsi="方正楷体_GBK" w:eastAsia="方正楷体_GBK" w:cs="方正楷体_GBK"/>
          <w:b/>
          <w:bCs/>
          <w:color w:val="000000"/>
          <w:sz w:val="33"/>
          <w:szCs w:val="33"/>
          <w:lang w:val="en-US" w:eastAsia="zh-CN"/>
        </w:rPr>
        <w:t>（三）推动案件查办精准规范，持续提升案件查办质效。</w:t>
      </w:r>
      <w:r>
        <w:rPr>
          <w:rFonts w:hint="eastAsia" w:ascii="Times New Roman" w:hAnsi="Times New Roman" w:eastAsia="方正仿宋_GBK" w:cs="Times New Roman"/>
          <w:sz w:val="33"/>
          <w:szCs w:val="33"/>
          <w:lang w:val="en-US" w:eastAsia="zh-CN"/>
        </w:rPr>
        <w:t>加强案件查办质效评估，深化“三不腐”一体推进。坚持系统施治、标本兼治，推进“一案一剖析、一案一整改、一案一评估”，将正风肃纪、深化改革、完善制度、促进治理、推动发展贯通融合，对案件查办后续治理成效、监管整改、制度完善、责任落实、作风提振等方面开展综合评估、跟进监督，努力实现政治效果、纪法效果、社会效果有机统一。</w:t>
      </w:r>
    </w:p>
    <w:p w14:paraId="4A42682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楷体_GBK" w:hAnsi="方正楷体_GBK" w:eastAsia="方正楷体_GBK" w:cs="方正楷体_GBK"/>
          <w:b w:val="0"/>
          <w:bCs w:val="0"/>
          <w:color w:val="000000"/>
          <w:sz w:val="33"/>
          <w:szCs w:val="33"/>
          <w:lang w:val="en-US" w:eastAsia="zh-CN"/>
        </w:rPr>
      </w:pPr>
      <w:r>
        <w:rPr>
          <w:rFonts w:hint="eastAsia" w:ascii="方正楷体_GBK" w:hAnsi="方正楷体_GBK" w:eastAsia="方正楷体_GBK" w:cs="方正楷体_GBK"/>
          <w:b/>
          <w:bCs/>
          <w:color w:val="000000"/>
          <w:sz w:val="33"/>
          <w:szCs w:val="33"/>
          <w:lang w:val="en-US" w:eastAsia="zh-CN"/>
        </w:rPr>
        <w:t>（四）推动四风纠治常态长效，持续巩固作风建设成效。</w:t>
      </w:r>
      <w:r>
        <w:rPr>
          <w:rFonts w:hint="eastAsia" w:ascii="Times New Roman" w:hAnsi="Times New Roman" w:eastAsia="方正仿宋_GBK" w:cs="Times New Roman"/>
          <w:sz w:val="33"/>
          <w:szCs w:val="33"/>
          <w:lang w:val="en-US" w:eastAsia="zh-CN"/>
        </w:rPr>
        <w:t>严防“四风”问题隐形变异，运用一体推进“三不腐”理念深化风腐同治，坚持惩治震慑、制度约束、提高觉悟一体发力，不断提升纠治“四风”工作成效，努力实现系统施治、标本兼治，推进作风建设常态长效。围绕案件查办暴露出来的风险漏洞、薄弱环节，扎实推进制度建设，构建作风建设大格局。</w:t>
      </w:r>
    </w:p>
    <w:p w14:paraId="7B1655D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方正楷体_GBK" w:hAnsi="方正楷体_GBK" w:eastAsia="方正楷体_GBK" w:cs="方正楷体_GBK"/>
          <w:b/>
          <w:bCs/>
          <w:color w:val="000000"/>
          <w:sz w:val="33"/>
          <w:szCs w:val="33"/>
          <w:lang w:val="en-US" w:eastAsia="zh-CN"/>
        </w:rPr>
        <w:t>（五）推动联系群众全面深入，以实际行动赢得群众认可。</w:t>
      </w:r>
      <w:r>
        <w:rPr>
          <w:rFonts w:hint="eastAsia" w:ascii="Times New Roman" w:hAnsi="Times New Roman" w:eastAsia="方正仿宋_GBK" w:cs="Times New Roman"/>
          <w:sz w:val="33"/>
          <w:szCs w:val="33"/>
          <w:lang w:val="en-US" w:eastAsia="zh-CN"/>
        </w:rPr>
        <w:t>践行“人民至上”理念，深化“人民阅卷·广安行动”，及时解决群众急难愁盼问题。全面常态收集解决群众诉求和意见建议，定期不定期抽查办理情况，严防敷衍应付。继续深入整治群众关心关注的“急难愁盼”，推进主责部门完善制度机制，治之于未乱。充分发挥群众监督作用，及时发现和惩治群众身边不正之风和腐败问题。</w:t>
      </w:r>
    </w:p>
    <w:p w14:paraId="4CE2B38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方正楷体_GBK" w:hAnsi="方正楷体_GBK" w:eastAsia="方正楷体_GBK" w:cs="方正楷体_GBK"/>
          <w:b/>
          <w:bCs/>
          <w:color w:val="000000"/>
          <w:sz w:val="33"/>
          <w:szCs w:val="33"/>
          <w:lang w:val="en-US" w:eastAsia="zh-CN"/>
        </w:rPr>
        <w:t>（六）推动队伍建设规范正规，着力打造高素质铁军。</w:t>
      </w:r>
      <w:r>
        <w:rPr>
          <w:rFonts w:hint="eastAsia" w:ascii="Times New Roman" w:hAnsi="Times New Roman" w:eastAsia="方正仿宋_GBK" w:cs="Times New Roman"/>
          <w:sz w:val="33"/>
          <w:szCs w:val="33"/>
          <w:lang w:val="en-US" w:eastAsia="zh-CN"/>
        </w:rPr>
        <w:t>深入推进强化组织、强化能力、强化主业、强化保障“四强行动”，科学调配纪检监察人才资源，提升信息化工作水平，常态开展系统化专业化培训，不让“任何一人掉队”，着力打造纪检监察先锋机关和模范团队。推动纪检监察干部队伍教育整顿工作常态化，坚持严管厚爱，强化干部教育管理，以实际行动践行忠诚干净担当。</w:t>
      </w:r>
    </w:p>
    <w:p w14:paraId="0AF16B70">
      <w:pPr>
        <w:pStyle w:val="2"/>
        <w:ind w:firstLine="643" w:firstLineChars="200"/>
        <w:rPr>
          <w:rFonts w:eastAsia="仿宋_GB2312"/>
          <w:sz w:val="32"/>
          <w:szCs w:val="32"/>
        </w:rPr>
      </w:pPr>
      <w:r>
        <w:rPr>
          <w:rFonts w:eastAsia="黑体"/>
          <w:kern w:val="0"/>
          <w:sz w:val="32"/>
          <w:szCs w:val="32"/>
          <w:lang w:bidi="ar"/>
        </w:rPr>
        <w:t>二、预算部门构成情况</w:t>
      </w:r>
    </w:p>
    <w:p w14:paraId="22844DF4">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广安经开区</w:t>
      </w:r>
      <w:r>
        <w:rPr>
          <w:rFonts w:hint="eastAsia" w:ascii="Times New Roman" w:hAnsi="Times New Roman" w:eastAsia="仿宋_GB2312" w:cs="Times New Roman"/>
          <w:sz w:val="32"/>
          <w:szCs w:val="32"/>
          <w:highlight w:val="none"/>
          <w:lang w:eastAsia="zh-CN"/>
        </w:rPr>
        <w:t>纪工委</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个科室，主要包括：综合室、党风室、信访室、纪检监察室、审理室、案管室、巡察办。</w:t>
      </w:r>
    </w:p>
    <w:p w14:paraId="545F749D">
      <w:pP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46E7B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9BA0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D5A9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14618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6627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DF5A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4A2B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5691F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100F7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72D9A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第二部分  </w:t>
      </w:r>
      <w:r>
        <w:rPr>
          <w:rFonts w:hint="eastAsia" w:ascii="Times New Roman" w:hAnsi="Times New Roman" w:eastAsia="方正小标宋简体" w:cs="方正小标宋简体"/>
          <w:sz w:val="52"/>
          <w:szCs w:val="52"/>
          <w:lang w:eastAsia="zh-CN" w:bidi="ar"/>
        </w:rPr>
        <w:t>中共广安经济技术开发区纪律检查工作委员会</w:t>
      </w:r>
    </w:p>
    <w:p w14:paraId="38E9D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14:paraId="373708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3AA27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0667E906">
      <w:pPr>
        <w:suppressAutoHyphens/>
        <w:bidi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按照综合预算的原则，</w:t>
      </w:r>
      <w:r>
        <w:rPr>
          <w:rFonts w:hint="eastAsia" w:ascii="Times New Roman" w:hAnsi="Times New Roman" w:eastAsia="仿宋_GB2312" w:cs="Times New Roman"/>
          <w:sz w:val="32"/>
          <w:szCs w:val="32"/>
          <w:lang w:val="en-US" w:eastAsia="zh-CN"/>
        </w:rPr>
        <w:t>中共广安经济技术开发区纪律检查工作委员会</w:t>
      </w:r>
      <w:r>
        <w:rPr>
          <w:rFonts w:ascii="Times New Roman" w:hAnsi="Times New Roman" w:eastAsia="仿宋_GB2312" w:cs="Times New Roman"/>
          <w:sz w:val="32"/>
          <w:szCs w:val="32"/>
        </w:rPr>
        <w:t>所有收入和支出均纳入部门预算管理。</w:t>
      </w:r>
      <w:r>
        <w:rPr>
          <w:rFonts w:hint="default" w:ascii="Times New Roman" w:hAnsi="Times New Roman" w:eastAsia="仿宋_GB2312" w:cs="Times New Roman"/>
          <w:strike w:val="0"/>
          <w:dstrike w:val="0"/>
          <w:sz w:val="32"/>
          <w:szCs w:val="32"/>
          <w:highlight w:val="none"/>
          <w:u w:val="none"/>
        </w:rPr>
        <w:t>收入包括：一般公共预算拨</w:t>
      </w:r>
      <w:r>
        <w:rPr>
          <w:rFonts w:hint="default" w:ascii="Times New Roman" w:hAnsi="Times New Roman" w:eastAsia="仿宋_GB2312" w:cs="Times New Roman"/>
          <w:sz w:val="32"/>
          <w:szCs w:val="32"/>
          <w:highlight w:val="none"/>
        </w:rPr>
        <w:t>款收入775.28</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；支出包括：一般公共服务支出735.34</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、社会保障和就业支出17.71</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、卫生健康支出6.79</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、住房保障支出15.44</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u w:val="none"/>
        </w:rPr>
        <w:t>总数增加</w:t>
      </w:r>
      <w:r>
        <w:rPr>
          <w:rFonts w:hint="eastAsia" w:ascii="Times New Roman" w:hAnsi="Times New Roman" w:eastAsia="仿宋_GB2312" w:cs="Times New Roman"/>
          <w:sz w:val="32"/>
          <w:szCs w:val="32"/>
          <w:highlight w:val="none"/>
          <w:u w:val="none"/>
          <w:lang w:val="en-US" w:eastAsia="zh-CN"/>
        </w:rPr>
        <w:t>296.84</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本年度一般公共服务支出增加296.64万元，主要增加“营商环境监督平台”项目纳入部门预算管理</w:t>
      </w:r>
      <w:r>
        <w:rPr>
          <w:rFonts w:hint="default" w:ascii="Times New Roman" w:hAnsi="Times New Roman" w:eastAsia="仿宋_GB2312" w:cs="Times New Roman"/>
          <w:sz w:val="32"/>
          <w:szCs w:val="32"/>
          <w:highlight w:val="none"/>
        </w:rPr>
        <w:t>。</w:t>
      </w:r>
    </w:p>
    <w:p w14:paraId="3CC996DD">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003F9AA8">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中共广安经济技术开发区纪律检查工作委员会</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14:paraId="603611E9">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1BCFBAF1">
      <w:pPr>
        <w:suppressAutoHyphens/>
        <w:bidi w:val="0"/>
        <w:spacing w:line="58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中共广安经济技术开发区纪律检查工作委员会</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213.87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27.59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eastAsia="zh-CN"/>
        </w:rPr>
        <w:t>561.42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72.41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0F43114E">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7B0B2FCF">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中共广安经济技术开发区纪律检查工作委员会</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u w:val="none"/>
        </w:rPr>
        <w:t>总数增加</w:t>
      </w:r>
      <w:r>
        <w:rPr>
          <w:rFonts w:hint="eastAsia" w:ascii="Times New Roman" w:hAnsi="Times New Roman" w:eastAsia="仿宋_GB2312" w:cs="Times New Roman"/>
          <w:sz w:val="32"/>
          <w:szCs w:val="32"/>
          <w:highlight w:val="none"/>
          <w:u w:val="none"/>
          <w:lang w:val="en-US" w:eastAsia="zh-CN"/>
        </w:rPr>
        <w:t>296.84</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本年度一般公共服务支出增加296.64万元，主要增加“营商环境监督平台”项目纳入部门预算管理</w:t>
      </w:r>
      <w:r>
        <w:rPr>
          <w:rFonts w:hint="default" w:ascii="Times New Roman" w:hAnsi="Times New Roman" w:eastAsia="仿宋_GB2312" w:cs="Times New Roman"/>
          <w:sz w:val="32"/>
          <w:szCs w:val="32"/>
          <w:highlight w:val="none"/>
        </w:rPr>
        <w:t>。</w:t>
      </w:r>
    </w:p>
    <w:p w14:paraId="6FCE59A8">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trike w:val="0"/>
          <w:dstrike w:val="0"/>
          <w:sz w:val="32"/>
          <w:szCs w:val="32"/>
          <w:highlight w:val="none"/>
          <w:u w:val="none"/>
        </w:rPr>
        <w:t>收入包括：一般公共预算拨</w:t>
      </w:r>
      <w:r>
        <w:rPr>
          <w:rFonts w:hint="default" w:ascii="Times New Roman" w:hAnsi="Times New Roman" w:eastAsia="仿宋_GB2312" w:cs="Times New Roman"/>
          <w:sz w:val="32"/>
          <w:szCs w:val="32"/>
          <w:highlight w:val="none"/>
        </w:rPr>
        <w:t>款收入775.28</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；支出包括：一般公共服务支出735.34</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、社会保障和就业支出17.71</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、卫生健康支出6.79</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、住房保障支出15.44</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w:t>
      </w:r>
    </w:p>
    <w:p w14:paraId="471AF1F9">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7D983044">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04218E98">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中共广安经济技术开发区纪律检查工作委员会</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eastAsia="zh-CN"/>
        </w:rPr>
        <w:t>775.28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u w:val="none"/>
        </w:rPr>
        <w:t>总数增加</w:t>
      </w:r>
      <w:r>
        <w:rPr>
          <w:rFonts w:hint="eastAsia" w:ascii="Times New Roman" w:hAnsi="Times New Roman" w:eastAsia="仿宋_GB2312" w:cs="Times New Roman"/>
          <w:sz w:val="32"/>
          <w:szCs w:val="32"/>
          <w:highlight w:val="none"/>
          <w:u w:val="none"/>
          <w:lang w:val="en-US" w:eastAsia="zh-CN"/>
        </w:rPr>
        <w:t>296.84</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本年度一般公共服务支出增加296.64万元，主要增加“营商环境监督平台”项目纳入部门预算管理</w:t>
      </w:r>
      <w:r>
        <w:rPr>
          <w:rFonts w:hint="default" w:ascii="Times New Roman" w:hAnsi="Times New Roman" w:eastAsia="仿宋_GB2312" w:cs="Times New Roman"/>
          <w:sz w:val="32"/>
          <w:szCs w:val="32"/>
          <w:highlight w:val="none"/>
        </w:rPr>
        <w:t>。</w:t>
      </w:r>
    </w:p>
    <w:p w14:paraId="31D8D2E7">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300504A2">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一般公共服务支出735.34</w:t>
      </w:r>
      <w:r>
        <w:rPr>
          <w:rFonts w:hint="eastAsia" w:ascii="Times New Roman" w:hAnsi="Times New Roman" w:eastAsia="仿宋_GB2312" w:cs="Times New Roman"/>
          <w:sz w:val="32"/>
          <w:szCs w:val="32"/>
          <w:highlight w:val="none"/>
          <w:lang w:val="en-US" w:eastAsia="zh-CN"/>
        </w:rPr>
        <w:t>万元，占95%；</w:t>
      </w:r>
      <w:r>
        <w:rPr>
          <w:rFonts w:hint="default" w:ascii="Times New Roman" w:hAnsi="Times New Roman" w:eastAsia="仿宋_GB2312" w:cs="Times New Roman"/>
          <w:sz w:val="32"/>
          <w:szCs w:val="32"/>
          <w:highlight w:val="none"/>
        </w:rPr>
        <w:t>社会保障和就业支出17.71</w:t>
      </w:r>
      <w:r>
        <w:rPr>
          <w:rFonts w:hint="eastAsia" w:ascii="Times New Roman" w:hAnsi="Times New Roman" w:eastAsia="仿宋_GB2312" w:cs="Times New Roman"/>
          <w:sz w:val="32"/>
          <w:szCs w:val="32"/>
          <w:highlight w:val="none"/>
          <w:lang w:val="en-US" w:eastAsia="zh-CN"/>
        </w:rPr>
        <w:t>万元，占2%；</w:t>
      </w:r>
      <w:r>
        <w:rPr>
          <w:rFonts w:hint="eastAsia" w:ascii="Times New Roman" w:hAnsi="Times New Roman" w:eastAsia="仿宋_GB2312" w:cs="Times New Roman"/>
          <w:sz w:val="32"/>
          <w:szCs w:val="32"/>
          <w:highlight w:val="none"/>
          <w:lang w:eastAsia="zh-CN"/>
        </w:rPr>
        <w:t>卫生健康支出6.79</w:t>
      </w:r>
      <w:r>
        <w:rPr>
          <w:rFonts w:hint="eastAsia" w:ascii="Times New Roman" w:hAnsi="Times New Roman" w:eastAsia="仿宋_GB2312" w:cs="Times New Roman"/>
          <w:sz w:val="32"/>
          <w:szCs w:val="32"/>
          <w:highlight w:val="none"/>
          <w:lang w:val="en-US" w:eastAsia="zh-CN"/>
        </w:rPr>
        <w:t>万元，占1%；</w:t>
      </w:r>
      <w:r>
        <w:rPr>
          <w:rFonts w:hint="eastAsia" w:ascii="Times New Roman" w:hAnsi="Times New Roman" w:eastAsia="仿宋_GB2312" w:cs="Times New Roman"/>
          <w:sz w:val="32"/>
          <w:szCs w:val="32"/>
          <w:highlight w:val="none"/>
          <w:lang w:eastAsia="zh-CN"/>
        </w:rPr>
        <w:t>住房保障支出15.44</w:t>
      </w:r>
      <w:r>
        <w:rPr>
          <w:rFonts w:hint="eastAsia" w:ascii="Times New Roman" w:hAnsi="Times New Roman" w:eastAsia="仿宋_GB2312" w:cs="Times New Roman"/>
          <w:sz w:val="32"/>
          <w:szCs w:val="32"/>
          <w:highlight w:val="none"/>
          <w:lang w:val="en-US" w:eastAsia="zh-CN"/>
        </w:rPr>
        <w:t>万元，占2%</w:t>
      </w:r>
      <w:r>
        <w:rPr>
          <w:rFonts w:hint="default" w:ascii="Times New Roman" w:hAnsi="Times New Roman" w:eastAsia="仿宋_GB2312" w:cs="Times New Roman"/>
          <w:sz w:val="32"/>
          <w:szCs w:val="32"/>
          <w:highlight w:val="none"/>
        </w:rPr>
        <w:t>。</w:t>
      </w:r>
    </w:p>
    <w:p w14:paraId="4BD80C5D">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14:paraId="636D6F1C">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lang w:eastAsia="zh-CN"/>
        </w:rPr>
        <w:t> 纪检监察</w:t>
      </w:r>
      <w:r>
        <w:rPr>
          <w:rFonts w:hint="default" w:ascii="Times New Roman" w:hAnsi="Times New Roman" w:eastAsia="仿宋_GB2312" w:cs="Times New Roman"/>
          <w:sz w:val="32"/>
          <w:szCs w:val="32"/>
          <w:highlight w:val="none"/>
        </w:rPr>
        <w:t>事务（款）行政运行（项）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221.86</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我单位本年度的日常基本支出</w:t>
      </w:r>
      <w:r>
        <w:rPr>
          <w:rFonts w:hint="default" w:ascii="Times New Roman" w:hAnsi="Times New Roman" w:eastAsia="仿宋_GB2312" w:cs="Times New Roman"/>
          <w:sz w:val="32"/>
          <w:szCs w:val="32"/>
          <w:highlight w:val="none"/>
        </w:rPr>
        <w:t>。</w:t>
      </w:r>
    </w:p>
    <w:p w14:paraId="77EEECAF">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2.一般公共服务（类）</w:t>
      </w:r>
      <w:r>
        <w:rPr>
          <w:rFonts w:hint="eastAsia" w:ascii="Times New Roman" w:hAnsi="Times New Roman" w:eastAsia="仿宋_GB2312" w:cs="Times New Roman"/>
          <w:sz w:val="32"/>
          <w:szCs w:val="32"/>
          <w:highlight w:val="none"/>
          <w:lang w:eastAsia="zh-CN"/>
        </w:rPr>
        <w:t> 纪检监察</w:t>
      </w:r>
      <w:r>
        <w:rPr>
          <w:rFonts w:hint="default" w:ascii="Times New Roman" w:hAnsi="Times New Roman" w:eastAsia="仿宋_GB2312" w:cs="Times New Roman"/>
          <w:sz w:val="32"/>
          <w:szCs w:val="32"/>
          <w:highlight w:val="none"/>
        </w:rPr>
        <w:t>事务（款）一般行政管理事务（项）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476.66</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我单位本年度的项目支出</w:t>
      </w:r>
      <w:r>
        <w:rPr>
          <w:rFonts w:hint="default" w:ascii="Times New Roman" w:hAnsi="Times New Roman" w:eastAsia="仿宋_GB2312" w:cs="Times New Roman"/>
          <w:sz w:val="32"/>
          <w:szCs w:val="32"/>
          <w:highlight w:val="none"/>
        </w:rPr>
        <w:t>。</w:t>
      </w:r>
    </w:p>
    <w:p w14:paraId="1FADFD41">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 纪检监察</w:t>
      </w:r>
      <w:r>
        <w:rPr>
          <w:rFonts w:hint="default" w:ascii="Times New Roman" w:hAnsi="Times New Roman" w:eastAsia="仿宋_GB2312" w:cs="Times New Roman"/>
          <w:sz w:val="32"/>
          <w:szCs w:val="32"/>
          <w:highlight w:val="none"/>
        </w:rPr>
        <w:t>事务（款）事业运行（项）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36.82</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事业单位基本支出</w:t>
      </w:r>
      <w:r>
        <w:rPr>
          <w:rFonts w:hint="default" w:ascii="Times New Roman" w:hAnsi="Times New Roman" w:eastAsia="仿宋_GB2312" w:cs="Times New Roman"/>
          <w:sz w:val="32"/>
          <w:szCs w:val="32"/>
          <w:highlight w:val="none"/>
        </w:rPr>
        <w:t>。</w:t>
      </w:r>
    </w:p>
    <w:p w14:paraId="64FF757A">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.社会保障和就业支出（类）</w:t>
      </w:r>
      <w:r>
        <w:rPr>
          <w:rFonts w:hint="eastAsia" w:ascii="Times New Roman" w:hAnsi="Times New Roman" w:eastAsia="仿宋_GB2312" w:cs="Times New Roman"/>
          <w:sz w:val="32"/>
          <w:szCs w:val="32"/>
          <w:highlight w:val="none"/>
          <w:lang w:eastAsia="zh-CN"/>
        </w:rPr>
        <w:t> 行政事业单位养老支出</w:t>
      </w:r>
      <w:r>
        <w:rPr>
          <w:rFonts w:hint="default" w:ascii="Times New Roman" w:hAnsi="Times New Roman" w:eastAsia="仿宋_GB2312" w:cs="Times New Roman"/>
          <w:sz w:val="32"/>
          <w:szCs w:val="32"/>
          <w:highlight w:val="none"/>
        </w:rPr>
        <w:t>事务（款）  机关事业单位基本养老保险缴费支出（项）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17.71</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我单位本年度给单位职工购买基本养老保险费支出</w:t>
      </w:r>
      <w:r>
        <w:rPr>
          <w:rFonts w:hint="default" w:ascii="Times New Roman" w:hAnsi="Times New Roman" w:eastAsia="仿宋_GB2312" w:cs="Times New Roman"/>
          <w:sz w:val="32"/>
          <w:szCs w:val="32"/>
          <w:highlight w:val="none"/>
        </w:rPr>
        <w:t>。</w:t>
      </w:r>
    </w:p>
    <w:p w14:paraId="6293FF69">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5.卫生健康支出（类）</w:t>
      </w:r>
      <w:r>
        <w:rPr>
          <w:rFonts w:hint="eastAsia" w:ascii="Times New Roman" w:hAnsi="Times New Roman" w:eastAsia="仿宋_GB2312" w:cs="Times New Roman"/>
          <w:sz w:val="32"/>
          <w:szCs w:val="32"/>
          <w:highlight w:val="none"/>
          <w:lang w:eastAsia="zh-CN"/>
        </w:rPr>
        <w:t>  行政事业单位医疗</w:t>
      </w:r>
      <w:r>
        <w:rPr>
          <w:rFonts w:hint="default" w:ascii="Times New Roman" w:hAnsi="Times New Roman" w:eastAsia="仿宋_GB2312" w:cs="Times New Roman"/>
          <w:sz w:val="32"/>
          <w:szCs w:val="32"/>
          <w:highlight w:val="none"/>
        </w:rPr>
        <w:t>（款）行政单位医疗（项）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3.61</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我单位本年度给单位职工购买基本医疗保险缴费经费。</w:t>
      </w:r>
    </w:p>
    <w:p w14:paraId="04B90AE1">
      <w:pPr>
        <w:numPr>
          <w:ilvl w:val="-1"/>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6.卫生健康支出（类）</w:t>
      </w:r>
      <w:r>
        <w:rPr>
          <w:rFonts w:hint="eastAsia" w:ascii="Times New Roman" w:hAnsi="Times New Roman" w:eastAsia="仿宋_GB2312" w:cs="Times New Roman"/>
          <w:sz w:val="32"/>
          <w:szCs w:val="32"/>
          <w:highlight w:val="none"/>
          <w:lang w:eastAsia="zh-CN"/>
        </w:rPr>
        <w:t>  行政事业单位医疗</w:t>
      </w:r>
      <w:r>
        <w:rPr>
          <w:rFonts w:hint="default" w:ascii="Times New Roman" w:hAnsi="Times New Roman" w:eastAsia="仿宋_GB2312" w:cs="Times New Roman"/>
          <w:sz w:val="32"/>
          <w:szCs w:val="32"/>
          <w:highlight w:val="none"/>
        </w:rPr>
        <w:t>（款）事业单位医疗（项）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我单位本年度给单位职工购买基本医疗保险缴费经费。</w:t>
      </w:r>
    </w:p>
    <w:p w14:paraId="458C8BDF">
      <w:pPr>
        <w:numPr>
          <w:ilvl w:val="-1"/>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7.卫生健康支出（类）</w:t>
      </w:r>
      <w:r>
        <w:rPr>
          <w:rFonts w:hint="eastAsia" w:ascii="Times New Roman" w:hAnsi="Times New Roman" w:eastAsia="仿宋_GB2312" w:cs="Times New Roman"/>
          <w:sz w:val="32"/>
          <w:szCs w:val="32"/>
          <w:highlight w:val="none"/>
          <w:lang w:eastAsia="zh-CN"/>
        </w:rPr>
        <w:t> 行政事业单位医疗</w:t>
      </w:r>
      <w:r>
        <w:rPr>
          <w:rFonts w:hint="default" w:ascii="Times New Roman" w:hAnsi="Times New Roman" w:eastAsia="仿宋_GB2312" w:cs="Times New Roman"/>
          <w:sz w:val="32"/>
          <w:szCs w:val="32"/>
          <w:highlight w:val="none"/>
        </w:rPr>
        <w:t>（款）公务员医疗补助（项）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1.17</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我单位本年度给单位职工购买公务员医疗补助经费。</w:t>
      </w:r>
    </w:p>
    <w:p w14:paraId="30F0E94A">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8.住房保障支出（类）</w:t>
      </w:r>
      <w:r>
        <w:rPr>
          <w:rFonts w:hint="eastAsia" w:ascii="Times New Roman" w:hAnsi="Times New Roman" w:eastAsia="仿宋_GB2312" w:cs="Times New Roman"/>
          <w:sz w:val="32"/>
          <w:szCs w:val="32"/>
          <w:highlight w:val="none"/>
          <w:lang w:eastAsia="zh-CN"/>
        </w:rPr>
        <w:t> 住房改革支出</w:t>
      </w:r>
      <w:r>
        <w:rPr>
          <w:rFonts w:hint="default" w:ascii="Times New Roman" w:hAnsi="Times New Roman" w:eastAsia="仿宋_GB2312" w:cs="Times New Roman"/>
          <w:sz w:val="32"/>
          <w:szCs w:val="32"/>
          <w:highlight w:val="none"/>
        </w:rPr>
        <w:t>（款）住房公积金（项）</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15.44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我单位本年度给单位职工购买住房公积金缴费经费。</w:t>
      </w:r>
    </w:p>
    <w:p w14:paraId="73365E45">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645ACF8A">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eastAsia="zh-CN"/>
        </w:rPr>
        <w:t>5年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eastAsia="zh-CN"/>
        </w:rPr>
        <w:t>213.87</w:t>
      </w:r>
      <w:r>
        <w:rPr>
          <w:rFonts w:hint="default" w:ascii="Times New Roman" w:hAnsi="Times New Roman" w:eastAsia="仿宋_GB2312" w:cs="Times New Roman"/>
          <w:sz w:val="32"/>
          <w:szCs w:val="32"/>
          <w:highlight w:val="none"/>
        </w:rPr>
        <w:t>万元，其中：</w:t>
      </w:r>
    </w:p>
    <w:p w14:paraId="56C4E340">
      <w:pPr>
        <w:suppressAutoHyphens/>
        <w:bidi w:val="0"/>
        <w:spacing w:line="580" w:lineRule="exact"/>
        <w:ind w:firstLine="640" w:firstLineChars="200"/>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eastAsia="zh-CN"/>
        </w:rPr>
        <w:t>179.29</w:t>
      </w:r>
      <w:r>
        <w:rPr>
          <w:rFonts w:hint="default" w:ascii="Times New Roman" w:hAnsi="Times New Roman" w:eastAsia="仿宋_GB2312" w:cs="Times New Roman"/>
          <w:sz w:val="32"/>
          <w:szCs w:val="32"/>
          <w:highlight w:val="none"/>
        </w:rPr>
        <w:t>万元，主要包括：</w:t>
      </w:r>
      <w:r>
        <w:rPr>
          <w:rFonts w:hint="default" w:ascii="Times New Roman" w:hAnsi="Times New Roman" w:eastAsia="仿宋_GB2312" w:cs="Times New Roman"/>
          <w:sz w:val="32"/>
          <w:szCs w:val="32"/>
          <w:highlight w:val="none"/>
        </w:rPr>
        <w:t>基本工资、津贴补贴、奖金、绩效工资</w:t>
      </w:r>
      <w:r>
        <w:rPr>
          <w:rFonts w:hint="eastAsia" w:ascii="Times New Roman" w:hAnsi="Times New Roman" w:eastAsia="仿宋_GB2312" w:cs="Times New Roman"/>
          <w:sz w:val="32"/>
          <w:szCs w:val="32"/>
          <w:highlight w:val="none"/>
          <w:lang w:eastAsia="zh-CN"/>
        </w:rPr>
        <w:t>、机关事业单位基本养老保险缴费、职工基本医疗保险缴费、公务员医疗补助缴费、其他社会保障缴费、住房公积金、医疗费、 劳务费、奖励金</w:t>
      </w:r>
      <w:r>
        <w:rPr>
          <w:rFonts w:hint="eastAsia" w:ascii="Times New Roman" w:hAnsi="Times New Roman" w:eastAsia="仿宋_GB2312" w:cs="Times New Roman"/>
          <w:sz w:val="32"/>
          <w:szCs w:val="32"/>
          <w:highlight w:val="none"/>
          <w:u w:val="none"/>
          <w:lang w:eastAsia="zh-CN"/>
        </w:rPr>
        <w:t>。</w:t>
      </w:r>
    </w:p>
    <w:p w14:paraId="684C1B01">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eastAsia="zh-CN"/>
        </w:rPr>
        <w:t>34.58</w:t>
      </w:r>
      <w:r>
        <w:rPr>
          <w:rFonts w:hint="default" w:ascii="Times New Roman" w:hAnsi="Times New Roman" w:eastAsia="仿宋_GB2312" w:cs="Times New Roman"/>
          <w:sz w:val="32"/>
          <w:szCs w:val="32"/>
          <w:highlight w:val="none"/>
        </w:rPr>
        <w:t>万元，主要包括：</w:t>
      </w:r>
      <w:r>
        <w:rPr>
          <w:rFonts w:hint="default" w:ascii="Times New Roman" w:hAnsi="Times New Roman" w:eastAsia="仿宋_GB2312" w:cs="Times New Roman"/>
          <w:sz w:val="32"/>
          <w:szCs w:val="32"/>
          <w:highlight w:val="none"/>
        </w:rPr>
        <w:t>办公费、印刷费、水费、电费</w:t>
      </w:r>
      <w:r>
        <w:rPr>
          <w:rFonts w:hint="eastAsia" w:ascii="Times New Roman" w:hAnsi="Times New Roman" w:eastAsia="仿宋_GB2312" w:cs="Times New Roman"/>
          <w:sz w:val="32"/>
          <w:szCs w:val="32"/>
          <w:highlight w:val="none"/>
          <w:lang w:eastAsia="zh-CN"/>
        </w:rPr>
        <w:t>、差旅费、培训费、工会经费、福利费、其他交通费用、其他商品和服务支出、生活补助。</w:t>
      </w:r>
    </w:p>
    <w:p w14:paraId="12124EE8">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14:paraId="47F5108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3F1694E2">
      <w:pPr>
        <w:suppressAutoHyphens/>
        <w:bidi w:val="0"/>
        <w:spacing w:line="580" w:lineRule="exact"/>
        <w:ind w:firstLine="640" w:firstLineChars="200"/>
        <w:rPr>
          <w:rFonts w:hint="eastAsia"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val="en-US" w:eastAsia="zh-CN"/>
        </w:rPr>
        <w:t>持平。</w:t>
      </w:r>
    </w:p>
    <w:p w14:paraId="44768194">
      <w:pPr>
        <w:suppressAutoHyphens/>
        <w:bidi w:val="0"/>
        <w:spacing w:line="580" w:lineRule="exact"/>
        <w:ind w:firstLine="640" w:firstLineChars="200"/>
        <w:rPr>
          <w:rFonts w:hint="eastAsia"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val="en-US" w:eastAsia="zh-CN"/>
        </w:rPr>
        <w:t>持平。</w:t>
      </w:r>
    </w:p>
    <w:p w14:paraId="3C94564D">
      <w:pPr>
        <w:suppressAutoHyphens/>
        <w:bidi w:val="0"/>
        <w:spacing w:line="580" w:lineRule="exact"/>
        <w:ind w:left="319" w:leftChars="152" w:firstLine="320" w:firstLineChars="100"/>
        <w:rPr>
          <w:rFonts w:hint="eastAsia"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val="en-US" w:eastAsia="zh-CN"/>
        </w:rPr>
        <w:t xml:space="preserve">持平。 </w:t>
      </w:r>
    </w:p>
    <w:p w14:paraId="19DA4B38">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5D974DE1">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3C227ACD">
      <w:pPr>
        <w:suppressAutoHyphens/>
        <w:bidi w:val="0"/>
        <w:spacing w:line="58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14:paraId="16025FA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4DC3ED5D">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没有使用政府性基金预算拨款安排的支出。</w:t>
      </w:r>
    </w:p>
    <w:p w14:paraId="6FA020F7">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118D4868">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没有使用国有资本经营预算拨款安排的支出。</w:t>
      </w:r>
    </w:p>
    <w:p w14:paraId="45939F76">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0449D2D3">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415C8EEC">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广安经开区纪工委</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34.58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u w:val="none"/>
        </w:rPr>
        <w:t>预算增加</w:t>
      </w:r>
      <w:r>
        <w:rPr>
          <w:rFonts w:hint="eastAsia" w:ascii="Times New Roman" w:hAnsi="Times New Roman" w:eastAsia="仿宋_GB2312" w:cs="Times New Roman"/>
          <w:sz w:val="32"/>
          <w:szCs w:val="32"/>
          <w:highlight w:val="none"/>
          <w:lang w:val="en-US" w:eastAsia="zh-CN"/>
        </w:rPr>
        <w:t>6.37</w:t>
      </w:r>
      <w:r>
        <w:rPr>
          <w:rFonts w:hint="default" w:ascii="Times New Roman" w:hAnsi="Times New Roman" w:eastAsia="仿宋_GB2312" w:cs="Times New Roman"/>
          <w:sz w:val="32"/>
          <w:szCs w:val="32"/>
          <w:highlight w:val="none"/>
          <w:u w:val="none"/>
        </w:rPr>
        <w:t>万元，增长</w:t>
      </w:r>
      <w:r>
        <w:rPr>
          <w:rFonts w:hint="eastAsia" w:ascii="Times New Roman" w:hAnsi="Times New Roman" w:eastAsia="仿宋_GB2312" w:cs="Times New Roman"/>
          <w:sz w:val="32"/>
          <w:szCs w:val="32"/>
          <w:highlight w:val="none"/>
          <w:u w:val="none"/>
          <w:lang w:val="en-US" w:eastAsia="zh-CN"/>
        </w:rPr>
        <w:t>18.42</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本年度差旅费、其他交通费用、其他商品和服务支出较上年度增长</w:t>
      </w:r>
      <w:r>
        <w:rPr>
          <w:rFonts w:hint="default" w:ascii="Times New Roman" w:hAnsi="Times New Roman" w:eastAsia="仿宋_GB2312" w:cs="Times New Roman"/>
          <w:sz w:val="32"/>
          <w:szCs w:val="32"/>
          <w:highlight w:val="none"/>
        </w:rPr>
        <w:t>。</w:t>
      </w:r>
    </w:p>
    <w:p w14:paraId="44B6557F">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2766CEBD">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广安经开区纪工委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无政府采购项目，未安排政府采购预算。</w:t>
      </w:r>
    </w:p>
    <w:p w14:paraId="585E5434">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28839441">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广安经开区纪工委</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p>
    <w:p w14:paraId="2FF6DC59">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2025年部门</w:t>
      </w:r>
      <w:r>
        <w:rPr>
          <w:rFonts w:hint="default" w:ascii="Times New Roman" w:hAnsi="Times New Roman" w:eastAsia="仿宋_GB2312" w:cs="Times New Roman"/>
          <w:sz w:val="32"/>
          <w:szCs w:val="32"/>
          <w:highlight w:val="none"/>
        </w:rPr>
        <w:t>预算未安排购置车辆及</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价值200万元以上大型设备。</w:t>
      </w:r>
    </w:p>
    <w:p w14:paraId="105FA4A6">
      <w:pPr>
        <w:suppressAutoHyphens/>
        <w:bidi w:val="0"/>
        <w:spacing w:line="580" w:lineRule="exact"/>
        <w:ind w:firstLine="640"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4CA5D3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2025年</w:t>
      </w:r>
      <w:r>
        <w:rPr>
          <w:rFonts w:hint="eastAsia" w:ascii="Times New Roman" w:hAnsi="Times New Roman" w:eastAsia="仿宋_GB2312" w:cs="Times New Roman"/>
          <w:sz w:val="32"/>
          <w:szCs w:val="32"/>
          <w:highlight w:val="none"/>
          <w:lang w:val="en-US" w:eastAsia="zh-CN"/>
        </w:rPr>
        <w:t>广安经开区纪工委</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596.01</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88.76</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34.59</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472.66</w:t>
      </w:r>
      <w:r>
        <w:rPr>
          <w:rFonts w:hint="default" w:ascii="Times New Roman" w:hAnsi="Times New Roman" w:eastAsia="仿宋_GB2312" w:cs="Times New Roman"/>
          <w:sz w:val="32"/>
          <w:szCs w:val="32"/>
          <w:highlight w:val="none"/>
          <w:lang w:eastAsia="zh-CN"/>
        </w:rPr>
        <w:t>万元。</w:t>
      </w:r>
    </w:p>
    <w:p w14:paraId="08A5BCB9">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bookmarkStart w:id="0" w:name="_GoBack"/>
      <w:bookmarkEnd w:id="0"/>
    </w:p>
    <w:p w14:paraId="7A9B71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0808A2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25749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A669E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5481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F7F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5E1ED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545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DAD8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958C8BF">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2CBF0C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7053A60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1.一般公共预算拨款收入：指市级财政当年拨付的资金。</w:t>
      </w:r>
    </w:p>
    <w:p w14:paraId="0455D91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2.上年结转：指以前年度尚未完成，结转到本年仍按原规定用途继续使用的资金。</w:t>
      </w:r>
    </w:p>
    <w:p w14:paraId="3CEB7CA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3.一般公共服务（类）财政事务（款）行政运行（项）：指厅机关及参公管理事业单位用于保障机构正常运行、开展日常工作的基本支出。</w:t>
      </w:r>
    </w:p>
    <w:p w14:paraId="7E1C8A0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4.一般公共服务（类）财政事务（款）一般行政管理事务（项）：指厅机关及参公管理事业单位开展财政综合业务、预决算编审等未单独设置项级科目的专门性财政管理工作的项目支出。</w:t>
      </w:r>
    </w:p>
    <w:p w14:paraId="24B1D4E0">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14:paraId="6BE776CA">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社会保障和就业（类）行政事业单位养老支出（款）行政单位离退休（项）：指</w:t>
      </w:r>
      <w:r>
        <w:rPr>
          <w:rFonts w:hint="eastAsia" w:ascii="仿宋_GB2312" w:eastAsia="仿宋_GB2312"/>
          <w:sz w:val="32"/>
          <w:szCs w:val="32"/>
          <w:lang w:eastAsia="zh-CN"/>
        </w:rPr>
        <w:t>行政单位开支的离退休经费</w:t>
      </w:r>
      <w:r>
        <w:rPr>
          <w:rFonts w:hint="eastAsia" w:ascii="仿宋_GB2312" w:eastAsia="仿宋_GB2312"/>
          <w:sz w:val="32"/>
          <w:szCs w:val="32"/>
        </w:rPr>
        <w:t>。</w:t>
      </w:r>
    </w:p>
    <w:p w14:paraId="0F45D8DC">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社会保障和就业（类）行政事业单位养老支出（款）事业单位离退休（项）：指</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1BC0B244">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单位医疗（项）：指财政部门安排的</w:t>
      </w:r>
      <w:r>
        <w:rPr>
          <w:rFonts w:hint="eastAsia" w:ascii="仿宋_GB2312" w:eastAsia="仿宋_GB2312"/>
          <w:sz w:val="32"/>
          <w:szCs w:val="32"/>
          <w:lang w:eastAsia="zh-CN"/>
        </w:rPr>
        <w:t>行政</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7F3B83DA">
      <w:pPr>
        <w:pStyle w:val="1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w:t>
      </w:r>
      <w:r>
        <w:rPr>
          <w:rFonts w:hint="eastAsia" w:ascii="仿宋_GB2312" w:eastAsia="仿宋_GB2312"/>
          <w:sz w:val="32"/>
          <w:szCs w:val="32"/>
          <w:lang w:eastAsia="zh-CN"/>
        </w:rPr>
        <w:t>住房公积金</w:t>
      </w:r>
      <w:r>
        <w:rPr>
          <w:rFonts w:hint="eastAsia" w:ascii="仿宋_GB2312" w:eastAsia="仿宋_GB2312"/>
          <w:sz w:val="32"/>
          <w:szCs w:val="32"/>
        </w:rPr>
        <w:t>（项）：指</w:t>
      </w:r>
      <w:r>
        <w:rPr>
          <w:rFonts w:hint="eastAsia" w:ascii="仿宋_GB2312" w:eastAsia="仿宋_GB2312"/>
          <w:sz w:val="32"/>
          <w:szCs w:val="32"/>
          <w:lang w:eastAsia="zh-CN"/>
        </w:rPr>
        <w:t>行政事业单位按人力资源和社会资源部、财政部规定的基本工资和津贴补贴以及规定比例为职工缴纳的住房公积金。</w:t>
      </w:r>
    </w:p>
    <w:p w14:paraId="6227E275">
      <w:pPr>
        <w:pStyle w:val="1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.基本支出：指为保证机构正常运转，完成日常工作任务而发生的人员支出和公用支出。</w:t>
      </w:r>
    </w:p>
    <w:p w14:paraId="646E8F70">
      <w:pPr>
        <w:pStyle w:val="1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.项目支出：指在基本支出之外为完成特定行政任务和事业发展目标所发生的支出。</w:t>
      </w:r>
    </w:p>
    <w:p w14:paraId="0BF2725F">
      <w:pPr>
        <w:pStyle w:val="1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.“三公”经费：纳入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预决算管理的“三公”经费，是指</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B860EE">
      <w:pPr>
        <w:spacing w:line="600" w:lineRule="exact"/>
        <w:ind w:firstLine="640" w:firstLineChars="200"/>
        <w:rPr>
          <w:rFonts w:hint="default" w:ascii="Times New Roman" w:hAnsi="Times New Roman" w:eastAsia="楷体" w:cs="Times New Roman"/>
          <w:b/>
          <w:color w:val="FF0000"/>
          <w:sz w:val="32"/>
          <w:szCs w:val="32"/>
          <w:highlight w:val="none"/>
        </w:rPr>
      </w:pP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14:paraId="2F036E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4D5E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14193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01C1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7E29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6844E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BC46E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46294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AA5F1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7F140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中共广安经济技术开发区纪律检查工作委员会</w:t>
      </w:r>
    </w:p>
    <w:p w14:paraId="319F7A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14:paraId="426CDE2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54338031">
      <w:pPr>
        <w:spacing w:line="600" w:lineRule="exact"/>
        <w:rPr>
          <w:rFonts w:hint="default" w:ascii="Times New Roman" w:hAnsi="Times New Roman" w:eastAsia="仿宋_GB2312" w:cs="Times New Roman"/>
          <w:sz w:val="32"/>
          <w:szCs w:val="32"/>
          <w:highlight w:val="none"/>
        </w:rPr>
      </w:pPr>
    </w:p>
    <w:p w14:paraId="3727F5C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收支总表</w:t>
      </w:r>
    </w:p>
    <w:p w14:paraId="2FB45B7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收入总表</w:t>
      </w:r>
    </w:p>
    <w:p w14:paraId="144401C1">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支出总表</w:t>
      </w:r>
    </w:p>
    <w:p w14:paraId="6E0B6AE2">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66F2471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2707880F">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130C586B">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2CDECAB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50A7EF2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103419B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5BA9030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203FFA6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55854262">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预算项目绩效目标</w:t>
      </w:r>
      <w:r>
        <w:rPr>
          <w:rFonts w:hint="default" w:ascii="Times New Roman" w:hAnsi="Times New Roman" w:eastAsia="仿宋_GB2312" w:cs="Times New Roman"/>
          <w:sz w:val="32"/>
          <w:szCs w:val="32"/>
          <w:highlight w:val="none"/>
          <w:lang w:eastAsia="zh-CN"/>
        </w:rPr>
        <w:t>表</w:t>
      </w:r>
    </w:p>
    <w:p w14:paraId="7A27231D"/>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微软雅黑"/>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楷体_GB2312">
    <w:altName w:val="微软雅黑"/>
    <w:panose1 w:val="02010609030101010101"/>
    <w:charset w:val="86"/>
    <w:family w:val="auto"/>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微软雅黑"/>
    <w:panose1 w:val="00000000000000000000"/>
    <w:charset w:val="00"/>
    <w:family w:val="auto"/>
    <w:pitch w:val="default"/>
    <w:sig w:usb0="00000000" w:usb1="00000000" w:usb2="00000000" w:usb3="00000000" w:csb0="0000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7EF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F2D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29D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CFB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C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440EA">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2440EA">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B067A"/>
    <w:rsid w:val="18DB13CB"/>
    <w:rsid w:val="1D7903B6"/>
    <w:rsid w:val="24415525"/>
    <w:rsid w:val="3FBA1515"/>
    <w:rsid w:val="3FFA7386"/>
    <w:rsid w:val="40775150"/>
    <w:rsid w:val="506D6C24"/>
    <w:rsid w:val="5E5C7101"/>
    <w:rsid w:val="62AF124A"/>
    <w:rsid w:val="6F6A7009"/>
    <w:rsid w:val="770E48EA"/>
    <w:rsid w:val="7C43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列出段落1"/>
    <w:basedOn w:val="1"/>
    <w:qFormat/>
    <w:uiPriority w:val="34"/>
    <w:pPr>
      <w:ind w:firstLine="420" w:firstLineChars="200"/>
    </w:pPr>
    <w:rPr>
      <w:rFonts w:ascii="Times New Roman" w:hAnsi="Times New Roman" w:eastAsia="宋体" w:cs="Times New Roman"/>
      <w:szCs w:val="24"/>
    </w:rPr>
  </w:style>
  <w:style w:type="paragraph" w:styleId="9">
    <w:name w:val="List Paragraph"/>
    <w:basedOn w:val="1"/>
    <w:unhideWhenUsed/>
    <w:qFormat/>
    <w:uiPriority w:val="99"/>
    <w:pPr>
      <w:ind w:firstLine="420" w:firstLineChars="200"/>
    </w:pPr>
  </w:style>
  <w:style w:type="paragraph" w:customStyle="1" w:styleId="10">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318</Words>
  <Characters>341</Characters>
  <Lines>0</Lines>
  <Paragraphs>0</Paragraphs>
  <TotalTime>8</TotalTime>
  <ScaleCrop>false</ScaleCrop>
  <LinksUpToDate>false</LinksUpToDate>
  <CharactersWithSpaces>370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2025-02-19T07:46:00Z</dcterms:created>
  <dc:creator>Administrator</dc:creator>
  <cp:lastModifiedBy>Kallimaヾ</cp:lastModifiedBy>
  <dcterms:modified xsi:type="dcterms:W3CDTF">2025-02-20T09:25:45Z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eyJoZGlkIjoiNjJkYzMxNmQ2Njk3ODg4ODJhMDUzZjI3OTIyMWQ0NmEiLCJ1c2VySWQiOiI0ODg3OTE4NDYifQ==</vt:lpwstr>
  </property>
  <property fmtid="{D5CDD505-2E9C-101B-9397-08002B2CF9AE}" pid="4" name="ICV">
    <vt:lpwstr>8CFD8D1115164A9DB4804643A45D5FF9_12</vt:lpwstr>
  </property>
</Properties>
</file>